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江苏省第二中医院设备调研必填表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       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2"/>
        <w:tblW w:w="150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395"/>
        <w:gridCol w:w="1530"/>
        <w:gridCol w:w="975"/>
        <w:gridCol w:w="975"/>
        <w:gridCol w:w="990"/>
        <w:gridCol w:w="1020"/>
        <w:gridCol w:w="795"/>
        <w:gridCol w:w="975"/>
        <w:gridCol w:w="2790"/>
        <w:gridCol w:w="900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设备名称（同注册证名称一致）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注册证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空间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特殊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要求（宽*深*高mm）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自身重量（kg）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有无供电、供水、环境等特殊要求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使用范围或适应症、配置、主要功能及技术优势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规定使用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有无耗材或试剂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注：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调研设备如有配套耗材或试剂，请补充</w:t>
      </w:r>
      <w:bookmarkStart w:id="0" w:name="_GoBack"/>
      <w:bookmarkEnd w:id="0"/>
      <w:r>
        <w:rPr>
          <w:rFonts w:hint="eastAsia" w:ascii="宋体" w:hAnsi="宋体"/>
          <w:b w:val="0"/>
          <w:bCs/>
          <w:sz w:val="21"/>
          <w:szCs w:val="21"/>
          <w:lang w:eastAsia="zh-CN"/>
        </w:rPr>
        <w:t>填写江苏省第二中医院耗材试剂调研表。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 w:eastAsia="宋体"/>
          <w:b/>
          <w:szCs w:val="21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供应商代表签字：</w:t>
      </w:r>
    </w:p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江苏省第二中医院医用耗材调研必填表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名称：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配套使用设备名称：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971" w:tblpY="121"/>
        <w:tblOverlap w:val="never"/>
        <w:tblW w:w="14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758"/>
        <w:gridCol w:w="1666"/>
        <w:gridCol w:w="1390"/>
        <w:gridCol w:w="1551"/>
        <w:gridCol w:w="817"/>
        <w:gridCol w:w="945"/>
        <w:gridCol w:w="1095"/>
        <w:gridCol w:w="1065"/>
        <w:gridCol w:w="207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产品名称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同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注册证名称）</w:t>
            </w:r>
          </w:p>
        </w:tc>
        <w:tc>
          <w:tcPr>
            <w:tcW w:w="166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生产厂家（品牌）</w:t>
            </w:r>
          </w:p>
        </w:tc>
        <w:tc>
          <w:tcPr>
            <w:tcW w:w="13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规格型号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编码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医保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编码</w:t>
            </w:r>
          </w:p>
        </w:tc>
        <w:tc>
          <w:tcPr>
            <w:tcW w:w="32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供应商代表确认签字：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76C1"/>
    <w:rsid w:val="212C7A16"/>
    <w:rsid w:val="2F742681"/>
    <w:rsid w:val="32C67418"/>
    <w:rsid w:val="3F450CD0"/>
    <w:rsid w:val="418B47B5"/>
    <w:rsid w:val="541937DD"/>
    <w:rsid w:val="565257EC"/>
    <w:rsid w:val="7BF0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2020-10-28T00:44:00Z</dcterms:created>
  <dc:creator>Administrator</dc:creator>
  <cp:lastModifiedBy>新生活</cp:lastModifiedBy>
  <cp:lastPrinted>2020-10-28T01:30:00Z</cp:lastPrinted>
  <dcterms:modified xsi:type="dcterms:W3CDTF">2021-01-16T01:40:16Z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